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31" w:rsidRDefault="008D2B31">
      <w:pPr>
        <w:pStyle w:val="BodyText"/>
        <w:rPr>
          <w:rFonts w:ascii="Times New Roman"/>
          <w:sz w:val="20"/>
        </w:rPr>
      </w:pPr>
    </w:p>
    <w:p w:rsidR="008D2B31" w:rsidRDefault="001B26C1">
      <w:pPr>
        <w:pStyle w:val="Heading1"/>
        <w:spacing w:before="274"/>
      </w:pPr>
      <w:r>
        <w:rPr>
          <w:color w:val="001C3D"/>
        </w:rPr>
        <w:t>Food Standards Agency Requirements - Food Allergens</w:t>
      </w:r>
    </w:p>
    <w:p w:rsidR="008D2B31" w:rsidRDefault="001B26C1">
      <w:pPr>
        <w:pStyle w:val="Heading2"/>
        <w:spacing w:before="273"/>
      </w:pPr>
      <w:r>
        <w:rPr>
          <w:color w:val="B00536"/>
        </w:rPr>
        <w:t>Preparing, Storing and Handling foods</w:t>
      </w:r>
    </w:p>
    <w:p w:rsidR="008D2B31" w:rsidRDefault="001B26C1">
      <w:pPr>
        <w:pStyle w:val="BodyText"/>
        <w:spacing w:before="139"/>
        <w:ind w:left="107" w:right="89"/>
      </w:pPr>
      <w:r>
        <w:t>If you are a Childminder that provides food as part of your normal Childminding service you are responsible under food law for ensuring that food is prepared, stored and handled in compliance with the food hygiene regulations. This includes keeping a recor</w:t>
      </w:r>
      <w:r>
        <w:t>d of actions carried out to keep food safe. The Food Standards Agency (FSA) has produced a special pack called 'Safer food, better business for Childminder’s' (SFBB for Childminder’s).</w:t>
      </w:r>
    </w:p>
    <w:p w:rsidR="008D2B31" w:rsidRDefault="008D2B31">
      <w:pPr>
        <w:pStyle w:val="BodyText"/>
      </w:pPr>
    </w:p>
    <w:p w:rsidR="008D2B31" w:rsidRDefault="001B26C1">
      <w:pPr>
        <w:pStyle w:val="Heading2"/>
      </w:pPr>
      <w:r>
        <w:rPr>
          <w:color w:val="B00536"/>
        </w:rPr>
        <w:t>Food Labelling Rules from 13</w:t>
      </w:r>
      <w:r>
        <w:rPr>
          <w:color w:val="B00536"/>
          <w:vertAlign w:val="superscript"/>
        </w:rPr>
        <w:t>th</w:t>
      </w:r>
      <w:r>
        <w:rPr>
          <w:color w:val="B00536"/>
        </w:rPr>
        <w:t xml:space="preserve"> December 2014</w:t>
      </w:r>
    </w:p>
    <w:p w:rsidR="008D2B31" w:rsidRDefault="001B26C1">
      <w:pPr>
        <w:pStyle w:val="BodyText"/>
        <w:spacing w:before="2"/>
        <w:ind w:left="107"/>
      </w:pPr>
      <w:r>
        <w:t>From 13 December 2014, al</w:t>
      </w:r>
      <w:r>
        <w:t xml:space="preserve">l food businesses including Childminder’s will need to provide allergen information on the foods they provide. Food allergens pose a significant risk to </w:t>
      </w:r>
      <w:bookmarkStart w:id="0" w:name="_GoBack"/>
      <w:bookmarkEnd w:id="0"/>
      <w:r>
        <w:t>consumers with allergic conditions, which may even be life threatening. Children are particularly vulne</w:t>
      </w:r>
      <w:r>
        <w:t>rable because of their reduced level of control over the foods they eat.</w:t>
      </w:r>
    </w:p>
    <w:p w:rsidR="008D2B31" w:rsidRDefault="008D2B31">
      <w:pPr>
        <w:pStyle w:val="BodyText"/>
        <w:spacing w:before="9"/>
        <w:rPr>
          <w:sz w:val="23"/>
        </w:rPr>
      </w:pPr>
    </w:p>
    <w:p w:rsidR="008D2B31" w:rsidRDefault="001B26C1">
      <w:pPr>
        <w:pStyle w:val="BodyText"/>
        <w:spacing w:before="1"/>
        <w:ind w:left="107" w:right="116"/>
      </w:pPr>
      <w:r>
        <w:t>As a Childminder, it is your responsibility to ensure that you provide allergen information for the food you serve and that this is accurate, consistent and verifiable. Remember to c</w:t>
      </w:r>
      <w:r>
        <w:t>heck the ingredients list of foods you use to make sure allergen information is correct, to avoid triggering an allergic reaction. The provision of allergen information concerns any foods bought from a shop and non-pre-packed foods including home-cooked me</w:t>
      </w:r>
      <w:r>
        <w:t>als. This allergen information should be easily accessible and readily available to parents, who leave or may leave children in your care, and any children in your care who can make their own informed food choices.</w:t>
      </w:r>
    </w:p>
    <w:p w:rsidR="008D2B31" w:rsidRDefault="008D2B31">
      <w:pPr>
        <w:pStyle w:val="BodyText"/>
        <w:spacing w:before="11"/>
        <w:rPr>
          <w:sz w:val="23"/>
        </w:rPr>
      </w:pPr>
    </w:p>
    <w:p w:rsidR="008D2B31" w:rsidRDefault="001B26C1">
      <w:pPr>
        <w:pStyle w:val="Heading2"/>
      </w:pPr>
      <w:r>
        <w:rPr>
          <w:color w:val="B00536"/>
        </w:rPr>
        <w:t>14 Food allergens</w:t>
      </w:r>
    </w:p>
    <w:p w:rsidR="008D2B31" w:rsidRDefault="001B26C1">
      <w:pPr>
        <w:pStyle w:val="BodyText"/>
        <w:spacing w:before="139"/>
        <w:ind w:left="107"/>
      </w:pPr>
      <w:r>
        <w:t>There are 14 allergens</w:t>
      </w:r>
      <w:r>
        <w:t xml:space="preserve"> currently listed under food law that you must declare. These are:</w:t>
      </w:r>
    </w:p>
    <w:p w:rsidR="008D2B31" w:rsidRDefault="008D2B31">
      <w:pPr>
        <w:pStyle w:val="BodyText"/>
        <w:spacing w:before="1"/>
      </w:pPr>
    </w:p>
    <w:p w:rsidR="008D2B31" w:rsidRDefault="001B26C1">
      <w:pPr>
        <w:pStyle w:val="ListParagraph"/>
        <w:numPr>
          <w:ilvl w:val="0"/>
          <w:numId w:val="1"/>
        </w:numPr>
        <w:tabs>
          <w:tab w:val="left" w:pos="828"/>
          <w:tab w:val="left" w:pos="829"/>
        </w:tabs>
        <w:spacing w:line="240" w:lineRule="auto"/>
        <w:ind w:right="106"/>
        <w:rPr>
          <w:sz w:val="24"/>
        </w:rPr>
      </w:pPr>
      <w:r>
        <w:rPr>
          <w:sz w:val="24"/>
        </w:rPr>
        <w:t xml:space="preserve">cereals containing gluten, e.g.: wheat (including spelt and </w:t>
      </w:r>
      <w:proofErr w:type="spellStart"/>
      <w:r>
        <w:rPr>
          <w:sz w:val="24"/>
        </w:rPr>
        <w:t>khorasan</w:t>
      </w:r>
      <w:proofErr w:type="spellEnd"/>
      <w:r>
        <w:rPr>
          <w:sz w:val="24"/>
        </w:rPr>
        <w:t xml:space="preserve">), rye, barley and oats and their </w:t>
      </w:r>
      <w:proofErr w:type="spellStart"/>
      <w:r>
        <w:rPr>
          <w:sz w:val="24"/>
        </w:rPr>
        <w:t>hybridised</w:t>
      </w:r>
      <w:proofErr w:type="spellEnd"/>
      <w:r>
        <w:rPr>
          <w:spacing w:val="-4"/>
          <w:sz w:val="24"/>
        </w:rPr>
        <w:t xml:space="preserve"> </w:t>
      </w:r>
      <w:r>
        <w:rPr>
          <w:sz w:val="24"/>
        </w:rPr>
        <w:t>strains</w:t>
      </w:r>
    </w:p>
    <w:p w:rsidR="008D2B31" w:rsidRDefault="001B26C1">
      <w:pPr>
        <w:pStyle w:val="ListParagraph"/>
        <w:numPr>
          <w:ilvl w:val="0"/>
          <w:numId w:val="1"/>
        </w:numPr>
        <w:tabs>
          <w:tab w:val="left" w:pos="828"/>
          <w:tab w:val="left" w:pos="829"/>
        </w:tabs>
        <w:rPr>
          <w:sz w:val="24"/>
        </w:rPr>
      </w:pPr>
      <w:r>
        <w:rPr>
          <w:sz w:val="24"/>
        </w:rPr>
        <w:t>crustaceans, e.g.: prawns, crab and</w:t>
      </w:r>
      <w:r>
        <w:rPr>
          <w:spacing w:val="-3"/>
          <w:sz w:val="24"/>
        </w:rPr>
        <w:t xml:space="preserve"> </w:t>
      </w:r>
      <w:r>
        <w:rPr>
          <w:sz w:val="24"/>
        </w:rPr>
        <w:t>lobster</w:t>
      </w:r>
    </w:p>
    <w:p w:rsidR="008D2B31" w:rsidRDefault="001B26C1">
      <w:pPr>
        <w:pStyle w:val="ListParagraph"/>
        <w:numPr>
          <w:ilvl w:val="0"/>
          <w:numId w:val="1"/>
        </w:numPr>
        <w:tabs>
          <w:tab w:val="left" w:pos="828"/>
          <w:tab w:val="left" w:pos="829"/>
        </w:tabs>
        <w:spacing w:line="292" w:lineRule="exact"/>
        <w:rPr>
          <w:sz w:val="24"/>
        </w:rPr>
      </w:pPr>
      <w:r>
        <w:rPr>
          <w:sz w:val="24"/>
        </w:rPr>
        <w:t>eggs</w:t>
      </w:r>
    </w:p>
    <w:p w:rsidR="008D2B31" w:rsidRDefault="001B26C1">
      <w:pPr>
        <w:pStyle w:val="ListParagraph"/>
        <w:numPr>
          <w:ilvl w:val="0"/>
          <w:numId w:val="1"/>
        </w:numPr>
        <w:tabs>
          <w:tab w:val="left" w:pos="828"/>
          <w:tab w:val="left" w:pos="829"/>
        </w:tabs>
        <w:spacing w:line="292" w:lineRule="exact"/>
        <w:rPr>
          <w:sz w:val="24"/>
        </w:rPr>
      </w:pPr>
      <w:r>
        <w:rPr>
          <w:sz w:val="24"/>
        </w:rPr>
        <w:t>fish</w:t>
      </w:r>
    </w:p>
    <w:p w:rsidR="008D2B31" w:rsidRDefault="001B26C1">
      <w:pPr>
        <w:pStyle w:val="ListParagraph"/>
        <w:numPr>
          <w:ilvl w:val="0"/>
          <w:numId w:val="1"/>
        </w:numPr>
        <w:tabs>
          <w:tab w:val="left" w:pos="828"/>
          <w:tab w:val="left" w:pos="829"/>
        </w:tabs>
        <w:rPr>
          <w:sz w:val="24"/>
        </w:rPr>
      </w:pPr>
      <w:r>
        <w:rPr>
          <w:sz w:val="24"/>
        </w:rPr>
        <w:t>peanuts</w:t>
      </w:r>
    </w:p>
    <w:p w:rsidR="008D2B31" w:rsidRDefault="001B26C1">
      <w:pPr>
        <w:pStyle w:val="ListParagraph"/>
        <w:numPr>
          <w:ilvl w:val="0"/>
          <w:numId w:val="1"/>
        </w:numPr>
        <w:tabs>
          <w:tab w:val="left" w:pos="828"/>
          <w:tab w:val="left" w:pos="829"/>
        </w:tabs>
        <w:rPr>
          <w:sz w:val="24"/>
        </w:rPr>
      </w:pPr>
      <w:r>
        <w:rPr>
          <w:sz w:val="24"/>
        </w:rPr>
        <w:t>soybeans</w:t>
      </w:r>
    </w:p>
    <w:p w:rsidR="008D2B31" w:rsidRDefault="001B26C1">
      <w:pPr>
        <w:pStyle w:val="ListParagraph"/>
        <w:numPr>
          <w:ilvl w:val="0"/>
          <w:numId w:val="1"/>
        </w:numPr>
        <w:tabs>
          <w:tab w:val="left" w:pos="828"/>
          <w:tab w:val="left" w:pos="829"/>
        </w:tabs>
        <w:spacing w:line="292" w:lineRule="exact"/>
        <w:rPr>
          <w:sz w:val="24"/>
        </w:rPr>
      </w:pPr>
      <w:r>
        <w:rPr>
          <w:sz w:val="24"/>
        </w:rPr>
        <w:t>milk</w:t>
      </w:r>
    </w:p>
    <w:p w:rsidR="008D2B31" w:rsidRDefault="001B26C1">
      <w:pPr>
        <w:pStyle w:val="ListParagraph"/>
        <w:numPr>
          <w:ilvl w:val="0"/>
          <w:numId w:val="1"/>
        </w:numPr>
        <w:tabs>
          <w:tab w:val="left" w:pos="828"/>
          <w:tab w:val="left" w:pos="829"/>
        </w:tabs>
        <w:spacing w:line="240" w:lineRule="auto"/>
        <w:ind w:right="788"/>
        <w:rPr>
          <w:sz w:val="24"/>
        </w:rPr>
      </w:pPr>
      <w:r>
        <w:rPr>
          <w:sz w:val="24"/>
        </w:rPr>
        <w:t>nuts, e.g.: almonds, hazelnuts, walnuts, pecan nuts, Brazil nuts, pistachio, cashew, macadamia nuts or Queensland</w:t>
      </w:r>
      <w:r>
        <w:rPr>
          <w:spacing w:val="-7"/>
          <w:sz w:val="24"/>
        </w:rPr>
        <w:t xml:space="preserve"> </w:t>
      </w:r>
      <w:r>
        <w:rPr>
          <w:sz w:val="24"/>
        </w:rPr>
        <w:t>nuts</w:t>
      </w:r>
    </w:p>
    <w:p w:rsidR="008D2B31" w:rsidRDefault="008D2B31">
      <w:pPr>
        <w:rPr>
          <w:sz w:val="24"/>
        </w:rPr>
        <w:sectPr w:rsidR="008D2B31">
          <w:headerReference w:type="default" r:id="rId7"/>
          <w:footerReference w:type="default" r:id="rId8"/>
          <w:type w:val="continuous"/>
          <w:pgSz w:w="11910" w:h="16850"/>
          <w:pgMar w:top="2460" w:right="900" w:bottom="1720" w:left="600" w:header="473" w:footer="1535" w:gutter="0"/>
          <w:cols w:space="720"/>
        </w:sectPr>
      </w:pPr>
    </w:p>
    <w:p w:rsidR="008D2B31" w:rsidRDefault="008D2B31">
      <w:pPr>
        <w:pStyle w:val="BodyText"/>
        <w:rPr>
          <w:sz w:val="20"/>
        </w:rPr>
      </w:pPr>
    </w:p>
    <w:p w:rsidR="008D2B31" w:rsidRDefault="008D2B31">
      <w:pPr>
        <w:pStyle w:val="BodyText"/>
        <w:spacing w:before="8"/>
        <w:rPr>
          <w:sz w:val="23"/>
        </w:rPr>
      </w:pPr>
    </w:p>
    <w:p w:rsidR="008D2B31" w:rsidRDefault="001B26C1">
      <w:pPr>
        <w:pStyle w:val="ListParagraph"/>
        <w:numPr>
          <w:ilvl w:val="0"/>
          <w:numId w:val="1"/>
        </w:numPr>
        <w:tabs>
          <w:tab w:val="left" w:pos="828"/>
          <w:tab w:val="left" w:pos="829"/>
        </w:tabs>
        <w:rPr>
          <w:sz w:val="24"/>
        </w:rPr>
      </w:pPr>
      <w:r>
        <w:rPr>
          <w:sz w:val="24"/>
        </w:rPr>
        <w:t>celery (including</w:t>
      </w:r>
      <w:r>
        <w:rPr>
          <w:spacing w:val="-4"/>
          <w:sz w:val="24"/>
        </w:rPr>
        <w:t xml:space="preserve"> </w:t>
      </w:r>
      <w:r>
        <w:rPr>
          <w:sz w:val="24"/>
        </w:rPr>
        <w:t>celeriac)</w:t>
      </w:r>
    </w:p>
    <w:p w:rsidR="008D2B31" w:rsidRDefault="001B26C1">
      <w:pPr>
        <w:pStyle w:val="ListParagraph"/>
        <w:numPr>
          <w:ilvl w:val="0"/>
          <w:numId w:val="1"/>
        </w:numPr>
        <w:tabs>
          <w:tab w:val="left" w:pos="828"/>
          <w:tab w:val="left" w:pos="829"/>
        </w:tabs>
        <w:rPr>
          <w:sz w:val="24"/>
        </w:rPr>
      </w:pPr>
      <w:r>
        <w:rPr>
          <w:sz w:val="24"/>
        </w:rPr>
        <w:t>mustard</w:t>
      </w:r>
    </w:p>
    <w:p w:rsidR="008D2B31" w:rsidRDefault="001B26C1">
      <w:pPr>
        <w:pStyle w:val="ListParagraph"/>
        <w:numPr>
          <w:ilvl w:val="0"/>
          <w:numId w:val="1"/>
        </w:numPr>
        <w:tabs>
          <w:tab w:val="left" w:pos="828"/>
          <w:tab w:val="left" w:pos="829"/>
        </w:tabs>
        <w:rPr>
          <w:sz w:val="24"/>
        </w:rPr>
      </w:pPr>
      <w:r>
        <w:rPr>
          <w:sz w:val="24"/>
        </w:rPr>
        <w:t>sesame</w:t>
      </w:r>
    </w:p>
    <w:p w:rsidR="008D2B31" w:rsidRDefault="001B26C1">
      <w:pPr>
        <w:pStyle w:val="ListParagraph"/>
        <w:numPr>
          <w:ilvl w:val="0"/>
          <w:numId w:val="1"/>
        </w:numPr>
        <w:tabs>
          <w:tab w:val="left" w:pos="828"/>
          <w:tab w:val="left" w:pos="829"/>
        </w:tabs>
        <w:spacing w:before="4" w:line="235" w:lineRule="auto"/>
        <w:ind w:right="311"/>
        <w:rPr>
          <w:sz w:val="24"/>
        </w:rPr>
      </w:pPr>
      <w:proofErr w:type="spellStart"/>
      <w:r>
        <w:rPr>
          <w:sz w:val="24"/>
        </w:rPr>
        <w:t>sulphur</w:t>
      </w:r>
      <w:proofErr w:type="spellEnd"/>
      <w:r>
        <w:rPr>
          <w:sz w:val="24"/>
        </w:rPr>
        <w:t xml:space="preserve"> dioxide/</w:t>
      </w:r>
      <w:proofErr w:type="spellStart"/>
      <w:r>
        <w:rPr>
          <w:sz w:val="24"/>
        </w:rPr>
        <w:t>sulphites</w:t>
      </w:r>
      <w:proofErr w:type="spellEnd"/>
      <w:r>
        <w:rPr>
          <w:sz w:val="24"/>
        </w:rPr>
        <w:t xml:space="preserve"> (preservatives used in some foods and drinks) at levels</w:t>
      </w:r>
      <w:r>
        <w:rPr>
          <w:spacing w:val="-28"/>
          <w:sz w:val="24"/>
        </w:rPr>
        <w:t xml:space="preserve"> </w:t>
      </w:r>
      <w:r>
        <w:rPr>
          <w:sz w:val="24"/>
        </w:rPr>
        <w:t>above 10mg per kg or per</w:t>
      </w:r>
      <w:r>
        <w:rPr>
          <w:spacing w:val="-5"/>
          <w:sz w:val="24"/>
        </w:rPr>
        <w:t xml:space="preserve"> </w:t>
      </w:r>
      <w:proofErr w:type="spellStart"/>
      <w:r>
        <w:rPr>
          <w:sz w:val="24"/>
        </w:rPr>
        <w:t>litre</w:t>
      </w:r>
      <w:proofErr w:type="spellEnd"/>
    </w:p>
    <w:p w:rsidR="008D2B31" w:rsidRDefault="001B26C1">
      <w:pPr>
        <w:pStyle w:val="ListParagraph"/>
        <w:numPr>
          <w:ilvl w:val="0"/>
          <w:numId w:val="1"/>
        </w:numPr>
        <w:tabs>
          <w:tab w:val="left" w:pos="828"/>
          <w:tab w:val="left" w:pos="829"/>
        </w:tabs>
        <w:spacing w:before="3"/>
        <w:rPr>
          <w:sz w:val="24"/>
        </w:rPr>
      </w:pPr>
      <w:proofErr w:type="spellStart"/>
      <w:r>
        <w:rPr>
          <w:sz w:val="24"/>
        </w:rPr>
        <w:t>lupin</w:t>
      </w:r>
      <w:proofErr w:type="spellEnd"/>
    </w:p>
    <w:p w:rsidR="008D2B31" w:rsidRDefault="001B26C1">
      <w:pPr>
        <w:pStyle w:val="ListParagraph"/>
        <w:numPr>
          <w:ilvl w:val="0"/>
          <w:numId w:val="1"/>
        </w:numPr>
        <w:tabs>
          <w:tab w:val="left" w:pos="828"/>
          <w:tab w:val="left" w:pos="829"/>
        </w:tabs>
        <w:rPr>
          <w:sz w:val="24"/>
        </w:rPr>
      </w:pPr>
      <w:proofErr w:type="spellStart"/>
      <w:r>
        <w:rPr>
          <w:sz w:val="24"/>
        </w:rPr>
        <w:t>molluscs</w:t>
      </w:r>
      <w:proofErr w:type="spellEnd"/>
      <w:r>
        <w:rPr>
          <w:sz w:val="24"/>
        </w:rPr>
        <w:t>, e.g. clams, mussels, whelks oysters, snails and</w:t>
      </w:r>
      <w:r>
        <w:rPr>
          <w:spacing w:val="-7"/>
          <w:sz w:val="24"/>
        </w:rPr>
        <w:t xml:space="preserve"> </w:t>
      </w:r>
      <w:r>
        <w:rPr>
          <w:sz w:val="24"/>
        </w:rPr>
        <w:t>squid</w:t>
      </w:r>
    </w:p>
    <w:p w:rsidR="008D2B31" w:rsidRDefault="008D2B31">
      <w:pPr>
        <w:pStyle w:val="BodyText"/>
        <w:rPr>
          <w:sz w:val="28"/>
        </w:rPr>
      </w:pPr>
    </w:p>
    <w:p w:rsidR="008D2B31" w:rsidRDefault="001B26C1">
      <w:pPr>
        <w:pStyle w:val="BodyText"/>
        <w:spacing w:before="229"/>
        <w:ind w:left="107" w:right="290"/>
      </w:pPr>
      <w:r>
        <w:t xml:space="preserve">Basic advice from DMBC Environmental Health Team is to go through items that you serve to children, look at the ingredients and list any allergens present. Childminder’s should be able to tell parents what is in the foods they prepare. Best practice would </w:t>
      </w:r>
      <w:r>
        <w:t>be to have a folder with a sheet for each meal e.g.: pasta bake, then list the ingredients and highlight the allergens present, or to display a ‘food allergen matrix’.</w:t>
      </w:r>
    </w:p>
    <w:p w:rsidR="008D2B31" w:rsidRDefault="008D2B31">
      <w:pPr>
        <w:pStyle w:val="BodyText"/>
        <w:rPr>
          <w:sz w:val="26"/>
        </w:rPr>
      </w:pPr>
    </w:p>
    <w:p w:rsidR="008D2B31" w:rsidRDefault="008D2B31">
      <w:pPr>
        <w:pStyle w:val="BodyText"/>
        <w:rPr>
          <w:sz w:val="22"/>
        </w:rPr>
      </w:pPr>
    </w:p>
    <w:p w:rsidR="008D2B31" w:rsidRDefault="001B26C1">
      <w:pPr>
        <w:pStyle w:val="BodyText"/>
        <w:ind w:left="107" w:right="464"/>
      </w:pPr>
      <w:r>
        <w:t>Further FSA information regarding allergen legislation, advice, training and resources</w:t>
      </w:r>
      <w:r>
        <w:t xml:space="preserve"> can be found via the links below.</w:t>
      </w:r>
    </w:p>
    <w:p w:rsidR="008D2B31" w:rsidRDefault="008D2B31">
      <w:pPr>
        <w:pStyle w:val="BodyText"/>
        <w:spacing w:before="1"/>
      </w:pPr>
    </w:p>
    <w:p w:rsidR="008D2B31" w:rsidRDefault="001B26C1">
      <w:pPr>
        <w:pStyle w:val="Heading3"/>
        <w:spacing w:before="0"/>
      </w:pPr>
      <w:r>
        <w:rPr>
          <w:color w:val="B00536"/>
        </w:rPr>
        <w:t>FSA website:</w:t>
      </w:r>
    </w:p>
    <w:p w:rsidR="008D2B31" w:rsidRDefault="001B26C1">
      <w:pPr>
        <w:pStyle w:val="BodyText"/>
        <w:spacing w:before="136"/>
        <w:ind w:left="674"/>
      </w:pPr>
      <w:hyperlink r:id="rId9">
        <w:r>
          <w:rPr>
            <w:color w:val="0000FF"/>
            <w:u w:val="single" w:color="0000FF"/>
          </w:rPr>
          <w:t>http://www.food.gov.uk/business-industry/caterers/startingup/childminders</w:t>
        </w:r>
      </w:hyperlink>
    </w:p>
    <w:p w:rsidR="008D2B31" w:rsidRDefault="008D2B31">
      <w:pPr>
        <w:pStyle w:val="BodyText"/>
        <w:spacing w:before="1"/>
        <w:rPr>
          <w:sz w:val="20"/>
        </w:rPr>
      </w:pPr>
    </w:p>
    <w:p w:rsidR="008D2B31" w:rsidRDefault="001B26C1">
      <w:pPr>
        <w:pStyle w:val="Heading3"/>
      </w:pPr>
      <w:r>
        <w:rPr>
          <w:color w:val="B00536"/>
        </w:rPr>
        <w:t>FSA training link:</w:t>
      </w:r>
    </w:p>
    <w:p w:rsidR="008D2B31" w:rsidRDefault="008D2B31">
      <w:pPr>
        <w:pStyle w:val="BodyText"/>
        <w:spacing w:before="1"/>
      </w:pPr>
    </w:p>
    <w:p w:rsidR="008D2B31" w:rsidRDefault="001B26C1">
      <w:pPr>
        <w:pStyle w:val="BodyText"/>
        <w:spacing w:before="1"/>
        <w:ind w:left="828"/>
      </w:pPr>
      <w:hyperlink r:id="rId10">
        <w:r>
          <w:rPr>
            <w:color w:val="0000FF"/>
            <w:u w:val="single" w:color="0000FF"/>
          </w:rPr>
          <w:t>http://allergytraining.food.gov.uk/</w:t>
        </w:r>
      </w:hyperlink>
    </w:p>
    <w:p w:rsidR="008D2B31" w:rsidRDefault="008D2B31">
      <w:pPr>
        <w:pStyle w:val="BodyText"/>
      </w:pPr>
    </w:p>
    <w:p w:rsidR="008D2B31" w:rsidRDefault="001B26C1">
      <w:pPr>
        <w:pStyle w:val="Heading3"/>
        <w:spacing w:before="1"/>
      </w:pPr>
      <w:r>
        <w:rPr>
          <w:color w:val="B00536"/>
        </w:rPr>
        <w:t>FSA resources link:</w:t>
      </w:r>
    </w:p>
    <w:p w:rsidR="008D2B31" w:rsidRDefault="008D2B31">
      <w:pPr>
        <w:pStyle w:val="BodyText"/>
        <w:spacing w:before="10"/>
        <w:rPr>
          <w:sz w:val="23"/>
        </w:rPr>
      </w:pPr>
    </w:p>
    <w:p w:rsidR="008D2B31" w:rsidRDefault="001B26C1">
      <w:pPr>
        <w:pStyle w:val="BodyText"/>
        <w:ind w:left="828"/>
      </w:pPr>
      <w:hyperlink r:id="rId11">
        <w:r>
          <w:rPr>
            <w:color w:val="0000FF"/>
            <w:u w:val="single" w:color="0000FF"/>
          </w:rPr>
          <w:t>http://www.food.gov.uk/business-industry/allergy-gui</w:t>
        </w:r>
        <w:r>
          <w:rPr>
            <w:color w:val="0000FF"/>
            <w:u w:val="single" w:color="0000FF"/>
          </w:rPr>
          <w:t>de/allergen-resources</w:t>
        </w:r>
      </w:hyperlink>
    </w:p>
    <w:p w:rsidR="008D2B31" w:rsidRDefault="008D2B31">
      <w:pPr>
        <w:pStyle w:val="BodyText"/>
        <w:rPr>
          <w:sz w:val="20"/>
        </w:rPr>
      </w:pPr>
    </w:p>
    <w:p w:rsidR="008D2B31" w:rsidRDefault="008D2B31">
      <w:pPr>
        <w:pStyle w:val="BodyText"/>
        <w:spacing w:before="1"/>
      </w:pPr>
    </w:p>
    <w:p w:rsidR="008D2B31" w:rsidRDefault="001B26C1">
      <w:pPr>
        <w:pStyle w:val="Heading3"/>
      </w:pPr>
      <w:r>
        <w:rPr>
          <w:color w:val="B00536"/>
        </w:rPr>
        <w:t>For more information contact:</w:t>
      </w:r>
    </w:p>
    <w:p w:rsidR="008D2B31" w:rsidRDefault="008D2B31">
      <w:pPr>
        <w:pStyle w:val="BodyText"/>
        <w:spacing w:before="11"/>
        <w:rPr>
          <w:sz w:val="27"/>
        </w:rPr>
      </w:pPr>
    </w:p>
    <w:p w:rsidR="008D2B31" w:rsidRDefault="001B26C1" w:rsidP="00D8173E">
      <w:pPr>
        <w:pStyle w:val="BodyText"/>
        <w:tabs>
          <w:tab w:val="left" w:pos="1548"/>
        </w:tabs>
        <w:ind w:left="107" w:right="4762"/>
        <w:rPr>
          <w:sz w:val="17"/>
        </w:rPr>
      </w:pPr>
      <w:r>
        <w:t>Doncaster Council, Environmental Health Team on: Telephone:</w:t>
      </w:r>
      <w:r>
        <w:tab/>
        <w:t>01302</w:t>
      </w:r>
      <w:r>
        <w:rPr>
          <w:spacing w:val="-1"/>
        </w:rPr>
        <w:t xml:space="preserve"> </w:t>
      </w:r>
      <w:r w:rsidR="00D8173E">
        <w:t>73756</w:t>
      </w:r>
    </w:p>
    <w:sectPr w:rsidR="008D2B31">
      <w:pgSz w:w="11910" w:h="16850"/>
      <w:pgMar w:top="2460" w:right="900" w:bottom="1720" w:left="600" w:header="473" w:footer="1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C1" w:rsidRDefault="001B26C1">
      <w:r>
        <w:separator/>
      </w:r>
    </w:p>
  </w:endnote>
  <w:endnote w:type="continuationSeparator" w:id="0">
    <w:p w:rsidR="001B26C1" w:rsidRDefault="001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1" w:rsidRDefault="001B26C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65pt;margin-top:750.3pt;width:469.5pt;height:63.7pt;z-index:-251658240;mso-position-horizontal-relative:page;mso-position-vertical-relative:page" filled="f" stroked="f">
          <v:textbox inset="0,0,0,0">
            <w:txbxContent>
              <w:p w:rsidR="008D2B31" w:rsidRDefault="001B26C1">
                <w:pPr>
                  <w:spacing w:before="12"/>
                  <w:ind w:left="19" w:right="18" w:firstLine="8"/>
                  <w:jc w:val="center"/>
                  <w:rPr>
                    <w:i/>
                    <w:sz w:val="20"/>
                  </w:rPr>
                </w:pPr>
                <w:r>
                  <w:rPr>
                    <w:color w:val="001C3D"/>
                    <w:sz w:val="20"/>
                  </w:rPr>
                  <w:t>Information can be made available in other form</w:t>
                </w:r>
                <w:r>
                  <w:rPr>
                    <w:color w:val="001C3D"/>
                    <w:sz w:val="20"/>
                  </w:rPr>
                  <w:t>ats such as Braille or Audio Tape on request. If you know someone who may need this service, please contact a member of staff for more information or if you</w:t>
                </w:r>
                <w:r>
                  <w:rPr>
                    <w:color w:val="001C3D"/>
                    <w:spacing w:val="-33"/>
                    <w:sz w:val="20"/>
                  </w:rPr>
                  <w:t xml:space="preserve"> </w:t>
                </w:r>
                <w:r>
                  <w:rPr>
                    <w:color w:val="001C3D"/>
                    <w:sz w:val="20"/>
                  </w:rPr>
                  <w:t>need any other help or</w:t>
                </w:r>
                <w:r>
                  <w:rPr>
                    <w:color w:val="001C3D"/>
                    <w:spacing w:val="-4"/>
                    <w:sz w:val="20"/>
                  </w:rPr>
                  <w:t xml:space="preserve"> </w:t>
                </w:r>
                <w:r>
                  <w:rPr>
                    <w:color w:val="001C3D"/>
                    <w:sz w:val="20"/>
                  </w:rPr>
                  <w:t>advice</w:t>
                </w:r>
                <w:r>
                  <w:rPr>
                    <w:i/>
                    <w:color w:val="001C3D"/>
                    <w:sz w:val="20"/>
                  </w:rPr>
                  <w:t>.</w:t>
                </w:r>
              </w:p>
              <w:p w:rsidR="008D2B31" w:rsidRDefault="001B26C1">
                <w:pPr>
                  <w:spacing w:before="46"/>
                  <w:ind w:left="2464" w:right="2459"/>
                  <w:jc w:val="center"/>
                  <w:rPr>
                    <w:sz w:val="44"/>
                  </w:rPr>
                </w:pPr>
                <w:hyperlink r:id="rId1">
                  <w:r>
                    <w:rPr>
                      <w:color w:val="001C3D"/>
                      <w:sz w:val="44"/>
                    </w:rPr>
                    <w:t>www.doncaster.gov.uk</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C1" w:rsidRDefault="001B26C1">
      <w:r>
        <w:separator/>
      </w:r>
    </w:p>
  </w:footnote>
  <w:footnote w:type="continuationSeparator" w:id="0">
    <w:p w:rsidR="001B26C1" w:rsidRDefault="001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1" w:rsidRDefault="001B26C1">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280034</wp:posOffset>
          </wp:positionH>
          <wp:positionV relativeFrom="page">
            <wp:posOffset>300553</wp:posOffset>
          </wp:positionV>
          <wp:extent cx="6660501" cy="12679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60501" cy="12679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6794"/>
    <w:multiLevelType w:val="hybridMultilevel"/>
    <w:tmpl w:val="C6A09ECE"/>
    <w:lvl w:ilvl="0" w:tplc="EB9207C2">
      <w:numFmt w:val="bullet"/>
      <w:lvlText w:val=""/>
      <w:lvlJc w:val="left"/>
      <w:pPr>
        <w:ind w:left="828" w:hanging="361"/>
      </w:pPr>
      <w:rPr>
        <w:rFonts w:ascii="Symbol" w:eastAsia="Symbol" w:hAnsi="Symbol" w:cs="Symbol" w:hint="default"/>
        <w:w w:val="100"/>
        <w:sz w:val="24"/>
        <w:szCs w:val="24"/>
        <w:lang w:val="en-US" w:eastAsia="en-US" w:bidi="ar-SA"/>
      </w:rPr>
    </w:lvl>
    <w:lvl w:ilvl="1" w:tplc="FCD07C42">
      <w:numFmt w:val="bullet"/>
      <w:lvlText w:val="•"/>
      <w:lvlJc w:val="left"/>
      <w:pPr>
        <w:ind w:left="1778" w:hanging="361"/>
      </w:pPr>
      <w:rPr>
        <w:rFonts w:hint="default"/>
        <w:lang w:val="en-US" w:eastAsia="en-US" w:bidi="ar-SA"/>
      </w:rPr>
    </w:lvl>
    <w:lvl w:ilvl="2" w:tplc="7A9AE67E">
      <w:numFmt w:val="bullet"/>
      <w:lvlText w:val="•"/>
      <w:lvlJc w:val="left"/>
      <w:pPr>
        <w:ind w:left="2737" w:hanging="361"/>
      </w:pPr>
      <w:rPr>
        <w:rFonts w:hint="default"/>
        <w:lang w:val="en-US" w:eastAsia="en-US" w:bidi="ar-SA"/>
      </w:rPr>
    </w:lvl>
    <w:lvl w:ilvl="3" w:tplc="10E0D67C">
      <w:numFmt w:val="bullet"/>
      <w:lvlText w:val="•"/>
      <w:lvlJc w:val="left"/>
      <w:pPr>
        <w:ind w:left="3695" w:hanging="361"/>
      </w:pPr>
      <w:rPr>
        <w:rFonts w:hint="default"/>
        <w:lang w:val="en-US" w:eastAsia="en-US" w:bidi="ar-SA"/>
      </w:rPr>
    </w:lvl>
    <w:lvl w:ilvl="4" w:tplc="0CA0C5FC">
      <w:numFmt w:val="bullet"/>
      <w:lvlText w:val="•"/>
      <w:lvlJc w:val="left"/>
      <w:pPr>
        <w:ind w:left="4654" w:hanging="361"/>
      </w:pPr>
      <w:rPr>
        <w:rFonts w:hint="default"/>
        <w:lang w:val="en-US" w:eastAsia="en-US" w:bidi="ar-SA"/>
      </w:rPr>
    </w:lvl>
    <w:lvl w:ilvl="5" w:tplc="F710E7F2">
      <w:numFmt w:val="bullet"/>
      <w:lvlText w:val="•"/>
      <w:lvlJc w:val="left"/>
      <w:pPr>
        <w:ind w:left="5613" w:hanging="361"/>
      </w:pPr>
      <w:rPr>
        <w:rFonts w:hint="default"/>
        <w:lang w:val="en-US" w:eastAsia="en-US" w:bidi="ar-SA"/>
      </w:rPr>
    </w:lvl>
    <w:lvl w:ilvl="6" w:tplc="CBAC3C38">
      <w:numFmt w:val="bullet"/>
      <w:lvlText w:val="•"/>
      <w:lvlJc w:val="left"/>
      <w:pPr>
        <w:ind w:left="6571" w:hanging="361"/>
      </w:pPr>
      <w:rPr>
        <w:rFonts w:hint="default"/>
        <w:lang w:val="en-US" w:eastAsia="en-US" w:bidi="ar-SA"/>
      </w:rPr>
    </w:lvl>
    <w:lvl w:ilvl="7" w:tplc="84704CF2">
      <w:numFmt w:val="bullet"/>
      <w:lvlText w:val="•"/>
      <w:lvlJc w:val="left"/>
      <w:pPr>
        <w:ind w:left="7530" w:hanging="361"/>
      </w:pPr>
      <w:rPr>
        <w:rFonts w:hint="default"/>
        <w:lang w:val="en-US" w:eastAsia="en-US" w:bidi="ar-SA"/>
      </w:rPr>
    </w:lvl>
    <w:lvl w:ilvl="8" w:tplc="5846DC58">
      <w:numFmt w:val="bullet"/>
      <w:lvlText w:val="•"/>
      <w:lvlJc w:val="left"/>
      <w:pPr>
        <w:ind w:left="848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D2B31"/>
    <w:rsid w:val="001B26C1"/>
    <w:rsid w:val="008D2B31"/>
    <w:rsid w:val="00D8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217F45"/>
  <w15:docId w15:val="{F8F127C5-846B-49F7-9621-8CB17F34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07" w:right="797"/>
      <w:outlineLvl w:val="0"/>
    </w:pPr>
    <w:rPr>
      <w:rFonts w:ascii="Arial Black" w:eastAsia="Arial Black" w:hAnsi="Arial Black" w:cs="Arial Black"/>
      <w:sz w:val="44"/>
      <w:szCs w:val="44"/>
    </w:rPr>
  </w:style>
  <w:style w:type="paragraph" w:styleId="Heading2">
    <w:name w:val="heading 2"/>
    <w:basedOn w:val="Normal"/>
    <w:uiPriority w:val="1"/>
    <w:qFormat/>
    <w:pPr>
      <w:ind w:left="107"/>
      <w:outlineLvl w:val="1"/>
    </w:pPr>
    <w:rPr>
      <w:sz w:val="32"/>
      <w:szCs w:val="32"/>
    </w:rPr>
  </w:style>
  <w:style w:type="paragraph" w:styleId="Heading3">
    <w:name w:val="heading 3"/>
    <w:basedOn w:val="Normal"/>
    <w:uiPriority w:val="1"/>
    <w:qFormat/>
    <w:pPr>
      <w:spacing w:before="91"/>
      <w:ind w:left="107"/>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173E"/>
    <w:pPr>
      <w:tabs>
        <w:tab w:val="center" w:pos="4513"/>
        <w:tab w:val="right" w:pos="9026"/>
      </w:tabs>
    </w:pPr>
  </w:style>
  <w:style w:type="character" w:customStyle="1" w:styleId="HeaderChar">
    <w:name w:val="Header Char"/>
    <w:basedOn w:val="DefaultParagraphFont"/>
    <w:link w:val="Header"/>
    <w:uiPriority w:val="99"/>
    <w:rsid w:val="00D8173E"/>
    <w:rPr>
      <w:rFonts w:ascii="Arial" w:eastAsia="Arial" w:hAnsi="Arial" w:cs="Arial"/>
    </w:rPr>
  </w:style>
  <w:style w:type="paragraph" w:styleId="Footer">
    <w:name w:val="footer"/>
    <w:basedOn w:val="Normal"/>
    <w:link w:val="FooterChar"/>
    <w:uiPriority w:val="99"/>
    <w:unhideWhenUsed/>
    <w:rsid w:val="00D8173E"/>
    <w:pPr>
      <w:tabs>
        <w:tab w:val="center" w:pos="4513"/>
        <w:tab w:val="right" w:pos="9026"/>
      </w:tabs>
    </w:pPr>
  </w:style>
  <w:style w:type="character" w:customStyle="1" w:styleId="FooterChar">
    <w:name w:val="Footer Char"/>
    <w:basedOn w:val="DefaultParagraphFont"/>
    <w:link w:val="Footer"/>
    <w:uiPriority w:val="99"/>
    <w:rsid w:val="00D817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od.gov.uk/business-industry/allergy-guide/allergen-resources" TargetMode="External"/><Relationship Id="rId5" Type="http://schemas.openxmlformats.org/officeDocument/2006/relationships/footnotes" Target="footnotes.xml"/><Relationship Id="rId10" Type="http://schemas.openxmlformats.org/officeDocument/2006/relationships/hyperlink" Target="http://allergytraining.food.gov.uk/" TargetMode="External"/><Relationship Id="rId4" Type="http://schemas.openxmlformats.org/officeDocument/2006/relationships/webSettings" Target="webSettings.xml"/><Relationship Id="rId9" Type="http://schemas.openxmlformats.org/officeDocument/2006/relationships/hyperlink" Target="http://www.food.gov.uk/business-industry/caterers/startingup/childmind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Company>%Company%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 Arial 33pt,</dc:title>
  <dc:creator>Mark Torrington</dc:creator>
  <cp:lastModifiedBy>Fletcher, Kayla</cp:lastModifiedBy>
  <cp:revision>2</cp:revision>
  <dcterms:created xsi:type="dcterms:W3CDTF">2021-02-04T11:24:00Z</dcterms:created>
  <dcterms:modified xsi:type="dcterms:W3CDTF">2021-02-04T11:25:00Z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Word 2010</vt:lpwstr>
  </property>
  <property fmtid="{D5CDD505-2E9C-101B-9397-08002B2CF9AE}" pid="4" name="LastSaved">
    <vt:filetime>2021-02-04T00:00:00Z</vt:filetime>
  </property>
</Properties>
</file>